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CellSpacing w:w="0" w:type="dxa"/>
        <w:tblInd w:w="150" w:type="dxa"/>
        <w:shd w:val="clear" w:color="auto" w:fill="EEF3FA"/>
        <w:tblCellMar>
          <w:left w:w="0" w:type="dxa"/>
          <w:right w:w="0" w:type="dxa"/>
        </w:tblCellMar>
        <w:tblLook w:val="04A0" w:firstRow="1" w:lastRow="0" w:firstColumn="1" w:lastColumn="0" w:noHBand="0" w:noVBand="1"/>
      </w:tblPr>
      <w:tblGrid>
        <w:gridCol w:w="10650"/>
      </w:tblGrid>
      <w:tr w:rsidR="00B97BBA" w:rsidRPr="00B97BBA" w:rsidTr="00B97BBA">
        <w:trPr>
          <w:tblCellSpacing w:w="0" w:type="dxa"/>
        </w:trPr>
        <w:tc>
          <w:tcPr>
            <w:tcW w:w="9600" w:type="dxa"/>
            <w:shd w:val="clear" w:color="auto" w:fill="EEF3FA"/>
            <w:vAlign w:val="center"/>
            <w:hideMark/>
          </w:tcPr>
          <w:tbl>
            <w:tblPr>
              <w:tblW w:w="9600" w:type="dxa"/>
              <w:tblCellSpacing w:w="0" w:type="dxa"/>
              <w:shd w:val="clear" w:color="auto" w:fill="B7B7B7"/>
              <w:tblCellMar>
                <w:left w:w="0" w:type="dxa"/>
                <w:right w:w="0" w:type="dxa"/>
              </w:tblCellMar>
              <w:tblLook w:val="04A0" w:firstRow="1" w:lastRow="0" w:firstColumn="1" w:lastColumn="0" w:noHBand="0" w:noVBand="1"/>
            </w:tblPr>
            <w:tblGrid>
              <w:gridCol w:w="8116"/>
              <w:gridCol w:w="1040"/>
              <w:gridCol w:w="1494"/>
            </w:tblGrid>
            <w:tr w:rsidR="00B97BBA" w:rsidRPr="00B97BBA">
              <w:trPr>
                <w:trHeight w:val="450"/>
                <w:tblCellSpacing w:w="0" w:type="dxa"/>
              </w:trPr>
              <w:tc>
                <w:tcPr>
                  <w:tcW w:w="7410" w:type="dxa"/>
                  <w:shd w:val="clear" w:color="auto" w:fill="B7B7B7"/>
                  <w:vAlign w:val="center"/>
                  <w:hideMark/>
                </w:tcPr>
                <w:p w:rsidR="00B97BBA" w:rsidRPr="00B97BBA" w:rsidRDefault="00B97BBA" w:rsidP="00B97BBA">
                  <w:pPr>
                    <w:textAlignment w:val="baseline"/>
                    <w:rPr>
                      <w:rFonts w:ascii="inherit" w:eastAsia="Times New Roman" w:hAnsi="inherit" w:cs="Times New Roman"/>
                    </w:rPr>
                  </w:pPr>
                  <w:r w:rsidRPr="00B97BBA">
                    <w:rPr>
                      <w:rFonts w:ascii="inherit" w:eastAsia="Times New Roman" w:hAnsi="inherit" w:cs="Times New Roman"/>
                    </w:rPr>
                    <w:fldChar w:fldCharType="begin"/>
                  </w:r>
                  <w:r w:rsidRPr="00B97BBA">
                    <w:rPr>
                      <w:rFonts w:ascii="inherit" w:eastAsia="Times New Roman" w:hAnsi="inherit" w:cs="Times New Roman"/>
                    </w:rPr>
                    <w:instrText xml:space="preserve"> INCLUDEPICTURE "/var/folders/nz/83gd1cd91yq_f1bk8gvd8_0m0000gn/T/com.microsoft.Word/WebArchiveCopyPasteTempFiles/ei?u=http%3A%2F%2Fi7.cmail20.com%2Fti%2Fj%2F5A%2F5BA%2F57F%2F073019%2Fbanner.png&amp;d=2020-04-01T16%3A29%3A42.861Z" \* MERGEFORMATINET </w:instrText>
                  </w:r>
                  <w:r w:rsidRPr="00B97BBA">
                    <w:rPr>
                      <w:rFonts w:ascii="inherit" w:eastAsia="Times New Roman" w:hAnsi="inherit" w:cs="Times New Roman"/>
                    </w:rPr>
                    <w:fldChar w:fldCharType="separate"/>
                  </w:r>
                  <w:r w:rsidRPr="00B97BBA">
                    <w:rPr>
                      <w:rFonts w:ascii="inherit" w:eastAsia="Times New Roman" w:hAnsi="inherit" w:cs="Times New Roman"/>
                      <w:noProof/>
                    </w:rPr>
                    <w:drawing>
                      <wp:inline distT="0" distB="0" distL="0" distR="0">
                        <wp:extent cx="5943600" cy="363855"/>
                        <wp:effectExtent l="0" t="0" r="0" b="4445"/>
                        <wp:docPr id="4" name="Picture 4" descr="HHS/ACF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CF 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3855"/>
                                </a:xfrm>
                                <a:prstGeom prst="rect">
                                  <a:avLst/>
                                </a:prstGeom>
                                <a:noFill/>
                                <a:ln>
                                  <a:noFill/>
                                </a:ln>
                              </pic:spPr>
                            </pic:pic>
                          </a:graphicData>
                        </a:graphic>
                      </wp:inline>
                    </w:drawing>
                  </w:r>
                  <w:r w:rsidRPr="00B97BBA">
                    <w:rPr>
                      <w:rFonts w:ascii="inherit" w:eastAsia="Times New Roman" w:hAnsi="inherit" w:cs="Times New Roman"/>
                    </w:rPr>
                    <w:fldChar w:fldCharType="end"/>
                  </w:r>
                </w:p>
              </w:tc>
              <w:tc>
                <w:tcPr>
                  <w:tcW w:w="900" w:type="dxa"/>
                  <w:shd w:val="clear" w:color="auto" w:fill="B7B7B7"/>
                  <w:vAlign w:val="center"/>
                  <w:hideMark/>
                </w:tcPr>
                <w:p w:rsidR="00B97BBA" w:rsidRPr="00B97BBA" w:rsidRDefault="00B97BBA" w:rsidP="00B97BBA">
                  <w:pPr>
                    <w:textAlignment w:val="baseline"/>
                    <w:rPr>
                      <w:rFonts w:ascii="inherit" w:eastAsia="Times New Roman" w:hAnsi="inherit" w:cs="Times New Roman"/>
                    </w:rPr>
                  </w:pPr>
                  <w:r w:rsidRPr="00B97BBA">
                    <w:rPr>
                      <w:rFonts w:ascii="inherit" w:eastAsia="Times New Roman" w:hAnsi="inherit" w:cs="Times New Roman"/>
                      <w:noProof/>
                      <w:color w:val="0000FF"/>
                      <w:bdr w:val="none" w:sz="0" w:space="0" w:color="auto" w:frame="1"/>
                    </w:rPr>
                    <w:drawing>
                      <wp:inline distT="0" distB="0" distL="0" distR="0">
                        <wp:extent cx="759460" cy="383540"/>
                        <wp:effectExtent l="0" t="0" r="2540" b="0"/>
                        <wp:docPr id="3" name="Picture 3" descr="Facebook butt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butt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460" cy="383540"/>
                                </a:xfrm>
                                <a:prstGeom prst="rect">
                                  <a:avLst/>
                                </a:prstGeom>
                                <a:noFill/>
                                <a:ln>
                                  <a:noFill/>
                                </a:ln>
                              </pic:spPr>
                            </pic:pic>
                          </a:graphicData>
                        </a:graphic>
                      </wp:inline>
                    </w:drawing>
                  </w:r>
                </w:p>
              </w:tc>
              <w:tc>
                <w:tcPr>
                  <w:tcW w:w="1290" w:type="dxa"/>
                  <w:shd w:val="clear" w:color="auto" w:fill="B7B7B7"/>
                  <w:vAlign w:val="center"/>
                  <w:hideMark/>
                </w:tcPr>
                <w:p w:rsidR="00B97BBA" w:rsidRPr="00B97BBA" w:rsidRDefault="00B97BBA" w:rsidP="00B97BBA">
                  <w:pPr>
                    <w:textAlignment w:val="baseline"/>
                    <w:rPr>
                      <w:rFonts w:ascii="inherit" w:eastAsia="Times New Roman" w:hAnsi="inherit" w:cs="Times New Roman"/>
                    </w:rPr>
                  </w:pPr>
                  <w:r w:rsidRPr="00B97BBA">
                    <w:rPr>
                      <w:rFonts w:ascii="inherit" w:eastAsia="Times New Roman" w:hAnsi="inherit" w:cs="Times New Roman"/>
                      <w:noProof/>
                      <w:color w:val="0000FF"/>
                      <w:bdr w:val="none" w:sz="0" w:space="0" w:color="auto" w:frame="1"/>
                    </w:rPr>
                    <w:drawing>
                      <wp:inline distT="0" distB="0" distL="0" distR="0">
                        <wp:extent cx="1094105" cy="383540"/>
                        <wp:effectExtent l="0" t="0" r="0" b="0"/>
                        <wp:docPr id="2" name="Picture 2" descr="Twitter butt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butt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105" cy="383540"/>
                                </a:xfrm>
                                <a:prstGeom prst="rect">
                                  <a:avLst/>
                                </a:prstGeom>
                                <a:noFill/>
                                <a:ln>
                                  <a:noFill/>
                                </a:ln>
                              </pic:spPr>
                            </pic:pic>
                          </a:graphicData>
                        </a:graphic>
                      </wp:inline>
                    </w:drawing>
                  </w:r>
                </w:p>
              </w:tc>
            </w:tr>
            <w:tr w:rsidR="00B97BBA" w:rsidRPr="00B97BBA">
              <w:trPr>
                <w:trHeight w:val="1200"/>
                <w:tblCellSpacing w:w="0" w:type="dxa"/>
              </w:trPr>
              <w:tc>
                <w:tcPr>
                  <w:tcW w:w="9600" w:type="dxa"/>
                  <w:gridSpan w:val="3"/>
                  <w:shd w:val="clear" w:color="auto" w:fill="FFFFFF"/>
                  <w:hideMark/>
                </w:tcPr>
                <w:p w:rsidR="00B97BBA" w:rsidRPr="00B97BBA" w:rsidRDefault="00B97BBA" w:rsidP="00B97BBA">
                  <w:pPr>
                    <w:shd w:val="clear" w:color="auto" w:fill="FFFFFF"/>
                    <w:textAlignment w:val="baseline"/>
                    <w:rPr>
                      <w:rFonts w:ascii="inherit" w:eastAsia="Times New Roman" w:hAnsi="inherit" w:cs="Times New Roman"/>
                    </w:rPr>
                  </w:pPr>
                  <w:r w:rsidRPr="00B97BBA">
                    <w:rPr>
                      <w:rFonts w:ascii="inherit" w:eastAsia="Times New Roman" w:hAnsi="inherit" w:cs="Times New Roman"/>
                      <w:noProof/>
                      <w:color w:val="0000FF"/>
                      <w:bdr w:val="none" w:sz="0" w:space="0" w:color="auto" w:frame="1"/>
                      <w:shd w:val="clear" w:color="auto" w:fill="FFFFFF"/>
                    </w:rPr>
                    <w:drawing>
                      <wp:inline distT="0" distB="0" distL="0" distR="0">
                        <wp:extent cx="5943600" cy="739775"/>
                        <wp:effectExtent l="0" t="0" r="0" b="0"/>
                        <wp:docPr id="1" name="Picture 1" descr="Resources from the Office of Head St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header_image" descr="Resources from the Office of Head St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39775"/>
                                </a:xfrm>
                                <a:prstGeom prst="rect">
                                  <a:avLst/>
                                </a:prstGeom>
                                <a:noFill/>
                                <a:ln>
                                  <a:noFill/>
                                </a:ln>
                              </pic:spPr>
                            </pic:pic>
                          </a:graphicData>
                        </a:graphic>
                      </wp:inline>
                    </w:drawing>
                  </w:r>
                </w:p>
              </w:tc>
            </w:tr>
          </w:tbl>
          <w:p w:rsidR="00B97BBA" w:rsidRPr="00B97BBA" w:rsidRDefault="00B97BBA" w:rsidP="00B97BBA">
            <w:pPr>
              <w:rPr>
                <w:rFonts w:ascii="Arial" w:eastAsia="Times New Roman" w:hAnsi="Arial" w:cs="Arial"/>
                <w:color w:val="201F1E"/>
                <w:sz w:val="18"/>
                <w:szCs w:val="18"/>
              </w:rPr>
            </w:pPr>
          </w:p>
        </w:tc>
      </w:tr>
      <w:tr w:rsidR="00B97BBA" w:rsidRPr="00B97BBA" w:rsidTr="00B97BBA">
        <w:trPr>
          <w:tblCellSpacing w:w="0" w:type="dxa"/>
        </w:trPr>
        <w:tc>
          <w:tcPr>
            <w:tcW w:w="9600" w:type="dxa"/>
            <w:shd w:val="clear" w:color="auto" w:fill="FFFFFF"/>
            <w:vAlign w:val="center"/>
            <w:hideMark/>
          </w:tcPr>
          <w:tbl>
            <w:tblPr>
              <w:tblpPr w:leftFromText="45" w:rightFromText="45" w:vertAnchor="text"/>
              <w:tblW w:w="9600" w:type="dxa"/>
              <w:tblCellSpacing w:w="0" w:type="dxa"/>
              <w:tblCellMar>
                <w:left w:w="0" w:type="dxa"/>
                <w:right w:w="0" w:type="dxa"/>
              </w:tblCellMar>
              <w:tblLook w:val="04A0" w:firstRow="1" w:lastRow="0" w:firstColumn="1" w:lastColumn="0" w:noHBand="0" w:noVBand="1"/>
            </w:tblPr>
            <w:tblGrid>
              <w:gridCol w:w="230"/>
              <w:gridCol w:w="9370"/>
            </w:tblGrid>
            <w:tr w:rsidR="00B97BBA" w:rsidRPr="00B97BBA">
              <w:trPr>
                <w:tblCellSpacing w:w="0" w:type="dxa"/>
              </w:trPr>
              <w:tc>
                <w:tcPr>
                  <w:tcW w:w="225" w:type="dxa"/>
                  <w:vAlign w:val="center"/>
                  <w:hideMark/>
                </w:tcPr>
                <w:p w:rsidR="00B97BBA" w:rsidRPr="00B97BBA" w:rsidRDefault="00B97BBA" w:rsidP="00B97BBA">
                  <w:pPr>
                    <w:rPr>
                      <w:rFonts w:ascii="inherit" w:eastAsia="Times New Roman" w:hAnsi="inherit" w:cs="Times New Roman"/>
                    </w:rPr>
                  </w:pPr>
                  <w:r w:rsidRPr="00B97BBA">
                    <w:rPr>
                      <w:rFonts w:ascii="inherit" w:eastAsia="Times New Roman" w:hAnsi="inherit" w:cs="Times New Roman"/>
                    </w:rPr>
                    <w:t> </w:t>
                  </w:r>
                </w:p>
              </w:tc>
              <w:tc>
                <w:tcPr>
                  <w:tcW w:w="9150" w:type="dxa"/>
                  <w:vAlign w:val="center"/>
                  <w:hideMark/>
                </w:tcPr>
                <w:tbl>
                  <w:tblPr>
                    <w:tblW w:w="9150" w:type="dxa"/>
                    <w:tblCellSpacing w:w="0" w:type="dxa"/>
                    <w:tblCellMar>
                      <w:left w:w="0" w:type="dxa"/>
                      <w:right w:w="0" w:type="dxa"/>
                    </w:tblCellMar>
                    <w:tblLook w:val="04A0" w:firstRow="1" w:lastRow="0" w:firstColumn="1" w:lastColumn="0" w:noHBand="0" w:noVBand="1"/>
                  </w:tblPr>
                  <w:tblGrid>
                    <w:gridCol w:w="9150"/>
                  </w:tblGrid>
                  <w:tr w:rsidR="00B97BBA" w:rsidRPr="00B97BBA">
                    <w:trPr>
                      <w:trHeight w:val="160"/>
                      <w:tblCellSpacing w:w="0" w:type="dxa"/>
                    </w:trPr>
                    <w:tc>
                      <w:tcPr>
                        <w:tcW w:w="9150" w:type="dxa"/>
                        <w:vAlign w:val="center"/>
                        <w:hideMark/>
                      </w:tcPr>
                      <w:p w:rsidR="00B97BBA" w:rsidRPr="00B97BBA" w:rsidRDefault="00B97BBA" w:rsidP="00B97BBA">
                        <w:pPr>
                          <w:rPr>
                            <w:rFonts w:ascii="inherit" w:eastAsia="Times New Roman" w:hAnsi="inherit" w:cs="Times New Roman"/>
                          </w:rPr>
                        </w:pPr>
                        <w:r w:rsidRPr="00B97BBA">
                          <w:rPr>
                            <w:rFonts w:ascii="inherit" w:eastAsia="Times New Roman" w:hAnsi="inherit" w:cs="Times New Roman"/>
                          </w:rPr>
                          <w:t> </w:t>
                        </w:r>
                      </w:p>
                    </w:tc>
                  </w:tr>
                  <w:tr w:rsidR="00B97BBA" w:rsidRPr="00B97BBA">
                    <w:trPr>
                      <w:tblCellSpacing w:w="0" w:type="dxa"/>
                    </w:trPr>
                    <w:tc>
                      <w:tcPr>
                        <w:tcW w:w="9150" w:type="dxa"/>
                        <w:vAlign w:val="center"/>
                        <w:hideMark/>
                      </w:tcPr>
                      <w:p w:rsidR="00B97BBA" w:rsidRPr="00B97BBA" w:rsidRDefault="00B97BBA" w:rsidP="00B97BBA">
                        <w:pPr>
                          <w:spacing w:before="100" w:beforeAutospacing="1" w:after="100" w:afterAutospacing="1" w:line="270" w:lineRule="atLeast"/>
                          <w:jc w:val="center"/>
                          <w:textAlignment w:val="baseline"/>
                          <w:rPr>
                            <w:rFonts w:ascii="Tahoma" w:eastAsia="Times New Roman" w:hAnsi="Tahoma" w:cs="Tahoma"/>
                            <w:b/>
                            <w:bCs/>
                            <w:color w:val="333333"/>
                            <w:sz w:val="27"/>
                            <w:szCs w:val="27"/>
                          </w:rPr>
                        </w:pPr>
                        <w:r w:rsidRPr="00B97BBA">
                          <w:rPr>
                            <w:rFonts w:ascii="Tahoma" w:eastAsia="Times New Roman" w:hAnsi="Tahoma" w:cs="Tahoma"/>
                            <w:b/>
                            <w:bCs/>
                            <w:color w:val="333333"/>
                            <w:sz w:val="27"/>
                            <w:szCs w:val="27"/>
                          </w:rPr>
                          <w:t>Understanding Trauma in an Early Childhood Context</w:t>
                        </w:r>
                      </w:p>
                      <w:p w:rsidR="00B97BBA" w:rsidRPr="00B97BBA" w:rsidRDefault="00B97BBA" w:rsidP="00B97BBA">
                        <w:p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Head Start programs are uniquely positioned to address trauma. Join the Office of Head Start (OHS), the National Center on Early Childhood Health and Wellness (NCECHW), and the National Center on Parent, Family, and Community Engagement (PFCE) to explore what trauma is and recognize its signs and symptoms in young children. Discover strategies to promote resilience in children and the adults who care for them.</w:t>
                        </w:r>
                      </w:p>
                      <w:p w:rsidR="00B97BBA" w:rsidRPr="00B97BBA" w:rsidRDefault="00B97BBA" w:rsidP="00B97BBA">
                        <w:p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First, watch a two-part webinar introducing key concepts in understanding trauma and send us your questions and comments. Later, join us for a live webinar discussion where OHS and National Center experts will address your questions.</w:t>
                        </w:r>
                      </w:p>
                      <w:p w:rsidR="00B97BBA" w:rsidRPr="00B97BBA" w:rsidRDefault="00B97BBA" w:rsidP="00B97BBA">
                        <w:pPr>
                          <w:spacing w:beforeAutospacing="1" w:afterAutospacing="1" w:line="270" w:lineRule="atLeast"/>
                          <w:jc w:val="center"/>
                          <w:textAlignment w:val="baseline"/>
                          <w:rPr>
                            <w:rFonts w:ascii="Tahoma" w:eastAsia="Times New Roman" w:hAnsi="Tahoma" w:cs="Tahoma"/>
                            <w:b/>
                            <w:bCs/>
                            <w:color w:val="333333"/>
                          </w:rPr>
                        </w:pPr>
                        <w:r w:rsidRPr="00B97BBA">
                          <w:rPr>
                            <w:rFonts w:ascii="Tahoma" w:eastAsia="Times New Roman" w:hAnsi="Tahoma" w:cs="Tahoma"/>
                            <w:b/>
                            <w:bCs/>
                            <w:color w:val="333333"/>
                          </w:rPr>
                          <w:t>Promoting Empathy, Understanding Trauma</w:t>
                        </w:r>
                        <w:r w:rsidRPr="00B97BBA">
                          <w:rPr>
                            <w:rFonts w:ascii="Tahoma" w:eastAsia="Times New Roman" w:hAnsi="Tahoma" w:cs="Tahoma"/>
                            <w:b/>
                            <w:bCs/>
                            <w:color w:val="333333"/>
                          </w:rPr>
                          <w:br/>
                        </w:r>
                        <w:hyperlink r:id="rId12" w:tgtFrame="_blank" w:history="1">
                          <w:r w:rsidRPr="00B97BBA">
                            <w:rPr>
                              <w:rFonts w:ascii="inherit" w:eastAsia="Times New Roman" w:hAnsi="inherit" w:cs="Tahoma"/>
                              <w:b/>
                              <w:bCs/>
                              <w:color w:val="0000FF"/>
                              <w:u w:val="single"/>
                              <w:bdr w:val="none" w:sz="0" w:space="0" w:color="auto" w:frame="1"/>
                            </w:rPr>
                            <w:t>Watch Now on the ECLKC!</w:t>
                          </w:r>
                        </w:hyperlink>
                      </w:p>
                      <w:p w:rsidR="00B97BBA" w:rsidRPr="00B97BBA" w:rsidRDefault="00B97BBA" w:rsidP="00B97BBA">
                        <w:p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This two-part video series equips teachers with tools to manage their reactions to trauma. It also offers approaches program leaders can use to build organizational capacity around serving children and families impacted by traumatic events. These webinars were originally aired as part of the OHS's Safe Foundations, Healthy Futures campaign.</w:t>
                        </w:r>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hyperlink r:id="rId13" w:tgtFrame="_blank" w:history="1">
                          <w:r w:rsidRPr="00B97BBA">
                            <w:rPr>
                              <w:rFonts w:ascii="inherit" w:eastAsia="Times New Roman" w:hAnsi="inherit" w:cs="Arial"/>
                              <w:b/>
                              <w:bCs/>
                              <w:color w:val="0000FF"/>
                              <w:sz w:val="18"/>
                              <w:szCs w:val="18"/>
                              <w:u w:val="single"/>
                              <w:bdr w:val="none" w:sz="0" w:space="0" w:color="auto" w:frame="1"/>
                            </w:rPr>
                            <w:t>Part 1</w:t>
                          </w:r>
                        </w:hyperlink>
                        <w:r w:rsidRPr="00B97BBA">
                          <w:rPr>
                            <w:rFonts w:ascii="Arial" w:eastAsia="Times New Roman" w:hAnsi="Arial" w:cs="Arial"/>
                            <w:color w:val="333333"/>
                            <w:sz w:val="18"/>
                            <w:szCs w:val="18"/>
                          </w:rPr>
                          <w:t> helps staff to understand the impact of trauma on children's behavior, their social and emotional well-being, and the health and wellness of adults in the child's life.</w:t>
                        </w:r>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hyperlink r:id="rId14" w:tgtFrame="_blank" w:history="1">
                          <w:r w:rsidRPr="00B97BBA">
                            <w:rPr>
                              <w:rFonts w:ascii="inherit" w:eastAsia="Times New Roman" w:hAnsi="inherit" w:cs="Arial"/>
                              <w:b/>
                              <w:bCs/>
                              <w:color w:val="0000FF"/>
                              <w:sz w:val="18"/>
                              <w:szCs w:val="18"/>
                              <w:u w:val="single"/>
                              <w:bdr w:val="none" w:sz="0" w:space="0" w:color="auto" w:frame="1"/>
                            </w:rPr>
                            <w:t>Part 2</w:t>
                          </w:r>
                        </w:hyperlink>
                        <w:r w:rsidRPr="00B97BBA">
                          <w:rPr>
                            <w:rFonts w:ascii="Arial" w:eastAsia="Times New Roman" w:hAnsi="Arial" w:cs="Arial"/>
                            <w:color w:val="333333"/>
                            <w:sz w:val="18"/>
                            <w:szCs w:val="18"/>
                          </w:rPr>
                          <w:t> discusses how Head Start and Early Head Start program staff must take adult wellness into consideration so staff are better able to create a trauma-informed organization. Implementing strategies such as mindfulness, training on the impact of trauma, and mental health consultation can help programs create a safe and nurturing environment for children and adults.</w:t>
                        </w:r>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Send your trauma-related questions or comments to </w:t>
                        </w:r>
                        <w:hyperlink r:id="rId15" w:tgtFrame="_blank" w:history="1">
                          <w:r w:rsidRPr="00B97BBA">
                            <w:rPr>
                              <w:rFonts w:ascii="inherit" w:eastAsia="Times New Roman" w:hAnsi="inherit" w:cs="Arial"/>
                              <w:b/>
                              <w:bCs/>
                              <w:color w:val="0000FF"/>
                              <w:sz w:val="18"/>
                              <w:szCs w:val="18"/>
                              <w:u w:val="single"/>
                              <w:bdr w:val="none" w:sz="0" w:space="0" w:color="auto" w:frame="1"/>
                            </w:rPr>
                            <w:t>trauma@eclkc.info</w:t>
                          </w:r>
                        </w:hyperlink>
                        <w:r w:rsidRPr="00B97BBA">
                          <w:rPr>
                            <w:rFonts w:ascii="Arial" w:eastAsia="Times New Roman" w:hAnsi="Arial" w:cs="Arial"/>
                            <w:color w:val="333333"/>
                            <w:sz w:val="18"/>
                            <w:szCs w:val="18"/>
                          </w:rPr>
                          <w:t>. OHS will use them to inform the basis of discussion for their upcoming Office Hours webinar. Find details and registration information below.</w:t>
                        </w:r>
                      </w:p>
                      <w:p w:rsidR="00B97BBA" w:rsidRPr="00B97BBA" w:rsidRDefault="00B97BBA" w:rsidP="00B97BBA">
                        <w:pPr>
                          <w:spacing w:before="100" w:beforeAutospacing="1" w:after="100" w:afterAutospacing="1" w:line="270" w:lineRule="atLeast"/>
                          <w:jc w:val="center"/>
                          <w:textAlignment w:val="baseline"/>
                          <w:rPr>
                            <w:rFonts w:ascii="Tahoma" w:eastAsia="Times New Roman" w:hAnsi="Tahoma" w:cs="Tahoma"/>
                            <w:b/>
                            <w:bCs/>
                            <w:color w:val="333333"/>
                          </w:rPr>
                        </w:pPr>
                        <w:r w:rsidRPr="00B97BBA">
                          <w:rPr>
                            <w:rFonts w:ascii="Tahoma" w:eastAsia="Times New Roman" w:hAnsi="Tahoma" w:cs="Tahoma"/>
                            <w:b/>
                            <w:bCs/>
                            <w:color w:val="333333"/>
                          </w:rPr>
                          <w:t>Office Hours: Understanding Trauma in an Early Childhood Context</w:t>
                        </w:r>
                      </w:p>
                      <w:p w:rsidR="00B97BBA" w:rsidRPr="00B97BBA" w:rsidRDefault="00B97BBA" w:rsidP="00B97BBA">
                        <w:pPr>
                          <w:spacing w:beforeAutospacing="1" w:afterAutospacing="1" w:line="270" w:lineRule="atLeast"/>
                          <w:jc w:val="center"/>
                          <w:textAlignment w:val="baseline"/>
                          <w:rPr>
                            <w:rFonts w:ascii="Tahoma" w:eastAsia="Times New Roman" w:hAnsi="Tahoma" w:cs="Tahoma"/>
                            <w:b/>
                            <w:bCs/>
                            <w:color w:val="333333"/>
                          </w:rPr>
                        </w:pPr>
                        <w:r w:rsidRPr="00B97BBA">
                          <w:rPr>
                            <w:rFonts w:ascii="Tahoma" w:eastAsia="Times New Roman" w:hAnsi="Tahoma" w:cs="Tahoma"/>
                            <w:b/>
                            <w:bCs/>
                            <w:color w:val="333333"/>
                          </w:rPr>
                          <w:t>Thursday, April 9, 2020</w:t>
                        </w:r>
                        <w:r w:rsidRPr="00B97BBA">
                          <w:rPr>
                            <w:rFonts w:ascii="Tahoma" w:eastAsia="Times New Roman" w:hAnsi="Tahoma" w:cs="Tahoma"/>
                            <w:b/>
                            <w:bCs/>
                            <w:color w:val="333333"/>
                          </w:rPr>
                          <w:br/>
                          <w:t>1–2 p.m. ET</w:t>
                        </w:r>
                        <w:r w:rsidRPr="00B97BBA">
                          <w:rPr>
                            <w:rFonts w:ascii="Tahoma" w:eastAsia="Times New Roman" w:hAnsi="Tahoma" w:cs="Tahoma"/>
                            <w:b/>
                            <w:bCs/>
                            <w:color w:val="333333"/>
                          </w:rPr>
                          <w:br/>
                        </w:r>
                        <w:hyperlink r:id="rId16" w:tgtFrame="_blank" w:history="1">
                          <w:r w:rsidRPr="00B97BBA">
                            <w:rPr>
                              <w:rFonts w:ascii="inherit" w:eastAsia="Times New Roman" w:hAnsi="inherit" w:cs="Tahoma"/>
                              <w:b/>
                              <w:bCs/>
                              <w:color w:val="0000FF"/>
                              <w:u w:val="single"/>
                              <w:bdr w:val="none" w:sz="0" w:space="0" w:color="auto" w:frame="1"/>
                            </w:rPr>
                            <w:t>Register O</w:t>
                          </w:r>
                          <w:bookmarkStart w:id="0" w:name="_GoBack"/>
                          <w:bookmarkEnd w:id="0"/>
                          <w:r w:rsidRPr="00B97BBA">
                            <w:rPr>
                              <w:rFonts w:ascii="inherit" w:eastAsia="Times New Roman" w:hAnsi="inherit" w:cs="Tahoma"/>
                              <w:b/>
                              <w:bCs/>
                              <w:color w:val="0000FF"/>
                              <w:u w:val="single"/>
                              <w:bdr w:val="none" w:sz="0" w:space="0" w:color="auto" w:frame="1"/>
                            </w:rPr>
                            <w:t>n</w:t>
                          </w:r>
                          <w:r w:rsidRPr="00B97BBA">
                            <w:rPr>
                              <w:rFonts w:ascii="inherit" w:eastAsia="Times New Roman" w:hAnsi="inherit" w:cs="Tahoma"/>
                              <w:b/>
                              <w:bCs/>
                              <w:color w:val="0000FF"/>
                              <w:u w:val="single"/>
                              <w:bdr w:val="none" w:sz="0" w:space="0" w:color="auto" w:frame="1"/>
                            </w:rPr>
                            <w:t>line Now!</w:t>
                          </w:r>
                        </w:hyperlink>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Join us for a live webinar to address your questions, comments, and concerns regarding the </w:t>
                        </w:r>
                        <w:hyperlink r:id="rId17" w:tgtFrame="_blank" w:history="1">
                          <w:r w:rsidRPr="00B97BBA">
                            <w:rPr>
                              <w:rFonts w:ascii="inherit" w:eastAsia="Times New Roman" w:hAnsi="inherit" w:cs="Arial"/>
                              <w:b/>
                              <w:bCs/>
                              <w:color w:val="0000FF"/>
                              <w:sz w:val="18"/>
                              <w:szCs w:val="18"/>
                              <w:u w:val="single"/>
                              <w:bdr w:val="none" w:sz="0" w:space="0" w:color="auto" w:frame="1"/>
                            </w:rPr>
                            <w:t>Promoting Empathy, Understanding Trauma</w:t>
                          </w:r>
                        </w:hyperlink>
                        <w:r w:rsidRPr="00B97BBA">
                          <w:rPr>
                            <w:rFonts w:ascii="Arial" w:eastAsia="Times New Roman" w:hAnsi="Arial" w:cs="Arial"/>
                            <w:color w:val="333333"/>
                            <w:sz w:val="18"/>
                            <w:szCs w:val="18"/>
                          </w:rPr>
                          <w:t xml:space="preserve"> video series. Dr. Sangeeta </w:t>
                        </w:r>
                        <w:proofErr w:type="spellStart"/>
                        <w:r w:rsidRPr="00B97BBA">
                          <w:rPr>
                            <w:rFonts w:ascii="Arial" w:eastAsia="Times New Roman" w:hAnsi="Arial" w:cs="Arial"/>
                            <w:color w:val="333333"/>
                            <w:sz w:val="18"/>
                            <w:szCs w:val="18"/>
                          </w:rPr>
                          <w:t>Parikshak</w:t>
                        </w:r>
                        <w:proofErr w:type="spellEnd"/>
                        <w:r w:rsidRPr="00B97BBA">
                          <w:rPr>
                            <w:rFonts w:ascii="Arial" w:eastAsia="Times New Roman" w:hAnsi="Arial" w:cs="Arial"/>
                            <w:color w:val="333333"/>
                            <w:sz w:val="18"/>
                            <w:szCs w:val="18"/>
                          </w:rPr>
                          <w:t>, social science analyst at OHS, will be joined by experts in the field to respond to your questions and discuss implications.</w:t>
                        </w:r>
                      </w:p>
                    </w:tc>
                  </w:tr>
                </w:tbl>
                <w:p w:rsidR="00B97BBA" w:rsidRPr="00B97BBA" w:rsidRDefault="00B97BBA" w:rsidP="00B97BBA">
                  <w:pPr>
                    <w:rPr>
                      <w:rFonts w:ascii="Arial" w:eastAsia="Times New Roman" w:hAnsi="Arial" w:cs="Arial"/>
                      <w:vanish/>
                      <w:sz w:val="18"/>
                      <w:szCs w:val="18"/>
                    </w:rPr>
                  </w:pPr>
                </w:p>
                <w:tbl>
                  <w:tblPr>
                    <w:tblW w:w="9150" w:type="dxa"/>
                    <w:tblCellSpacing w:w="0" w:type="dxa"/>
                    <w:tblCellMar>
                      <w:left w:w="0" w:type="dxa"/>
                      <w:right w:w="0" w:type="dxa"/>
                    </w:tblCellMar>
                    <w:tblLook w:val="04A0" w:firstRow="1" w:lastRow="0" w:firstColumn="1" w:lastColumn="0" w:noHBand="0" w:noVBand="1"/>
                  </w:tblPr>
                  <w:tblGrid>
                    <w:gridCol w:w="9150"/>
                  </w:tblGrid>
                  <w:tr w:rsidR="00B97BBA" w:rsidRPr="00B97BBA">
                    <w:trPr>
                      <w:tblCellSpacing w:w="0" w:type="dxa"/>
                    </w:trPr>
                    <w:tc>
                      <w:tcPr>
                        <w:tcW w:w="9150" w:type="dxa"/>
                        <w:vAlign w:val="center"/>
                        <w:hideMark/>
                      </w:tcPr>
                      <w:p w:rsidR="00B97BBA" w:rsidRPr="00B97BBA" w:rsidRDefault="00B97BBA" w:rsidP="00B97BBA">
                        <w:pPr>
                          <w:spacing w:before="100" w:beforeAutospacing="1" w:after="100" w:afterAutospacing="1" w:line="330" w:lineRule="atLeast"/>
                          <w:textAlignment w:val="baseline"/>
                          <w:rPr>
                            <w:rFonts w:ascii="Tahoma" w:eastAsia="Times New Roman" w:hAnsi="Tahoma" w:cs="Tahoma"/>
                            <w:color w:val="222222"/>
                            <w:sz w:val="27"/>
                            <w:szCs w:val="27"/>
                          </w:rPr>
                        </w:pPr>
                        <w:r w:rsidRPr="00B97BBA">
                          <w:rPr>
                            <w:rFonts w:ascii="Tahoma" w:eastAsia="Times New Roman" w:hAnsi="Tahoma" w:cs="Tahoma"/>
                            <w:color w:val="222222"/>
                            <w:sz w:val="27"/>
                            <w:szCs w:val="27"/>
                          </w:rPr>
                          <w:t>How to Register </w:t>
                        </w:r>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Select the link to register: </w:t>
                        </w:r>
                        <w:hyperlink r:id="rId18" w:tgtFrame="_blank" w:history="1">
                          <w:r w:rsidRPr="00B97BBA">
                            <w:rPr>
                              <w:rFonts w:ascii="inherit" w:eastAsia="Times New Roman" w:hAnsi="inherit" w:cs="Arial"/>
                              <w:b/>
                              <w:bCs/>
                              <w:color w:val="0000FF"/>
                              <w:sz w:val="18"/>
                              <w:szCs w:val="18"/>
                              <w:u w:val="single"/>
                              <w:bdr w:val="none" w:sz="0" w:space="0" w:color="auto" w:frame="1"/>
                            </w:rPr>
                            <w:t>https://goto.webcasts.com/starthere.jsp?ei=1298973&amp;tp_key=230a4a88c1</w:t>
                          </w:r>
                        </w:hyperlink>
                      </w:p>
                    </w:tc>
                  </w:tr>
                </w:tbl>
                <w:p w:rsidR="00B97BBA" w:rsidRPr="00B97BBA" w:rsidRDefault="00B97BBA" w:rsidP="00B97BBA">
                  <w:pPr>
                    <w:rPr>
                      <w:rFonts w:ascii="Arial" w:eastAsia="Times New Roman" w:hAnsi="Arial" w:cs="Arial"/>
                      <w:vanish/>
                      <w:sz w:val="18"/>
                      <w:szCs w:val="18"/>
                    </w:rPr>
                  </w:pPr>
                </w:p>
                <w:tbl>
                  <w:tblPr>
                    <w:tblW w:w="9150" w:type="dxa"/>
                    <w:tblCellSpacing w:w="0" w:type="dxa"/>
                    <w:tblCellMar>
                      <w:left w:w="0" w:type="dxa"/>
                      <w:right w:w="0" w:type="dxa"/>
                    </w:tblCellMar>
                    <w:tblLook w:val="04A0" w:firstRow="1" w:lastRow="0" w:firstColumn="1" w:lastColumn="0" w:noHBand="0" w:noVBand="1"/>
                  </w:tblPr>
                  <w:tblGrid>
                    <w:gridCol w:w="9150"/>
                  </w:tblGrid>
                  <w:tr w:rsidR="00B97BBA" w:rsidRPr="00B97BBA">
                    <w:trPr>
                      <w:tblCellSpacing w:w="0" w:type="dxa"/>
                    </w:trPr>
                    <w:tc>
                      <w:tcPr>
                        <w:tcW w:w="9150" w:type="dxa"/>
                        <w:vAlign w:val="center"/>
                        <w:hideMark/>
                      </w:tcPr>
                      <w:p w:rsidR="00B97BBA" w:rsidRPr="00B97BBA" w:rsidRDefault="00B97BBA" w:rsidP="00B97BBA">
                        <w:pPr>
                          <w:spacing w:before="100" w:beforeAutospacing="1" w:after="100" w:afterAutospacing="1" w:line="330" w:lineRule="atLeast"/>
                          <w:textAlignment w:val="baseline"/>
                          <w:rPr>
                            <w:rFonts w:ascii="Tahoma" w:eastAsia="Times New Roman" w:hAnsi="Tahoma" w:cs="Tahoma"/>
                            <w:color w:val="222222"/>
                            <w:sz w:val="27"/>
                            <w:szCs w:val="27"/>
                          </w:rPr>
                        </w:pPr>
                        <w:r w:rsidRPr="00B97BBA">
                          <w:rPr>
                            <w:rFonts w:ascii="Tahoma" w:eastAsia="Times New Roman" w:hAnsi="Tahoma" w:cs="Tahoma"/>
                            <w:color w:val="222222"/>
                            <w:sz w:val="27"/>
                            <w:szCs w:val="27"/>
                          </w:rPr>
                          <w:lastRenderedPageBreak/>
                          <w:t>#</w:t>
                        </w:r>
                        <w:proofErr w:type="spellStart"/>
                        <w:r w:rsidRPr="00B97BBA">
                          <w:rPr>
                            <w:rFonts w:ascii="Tahoma" w:eastAsia="Times New Roman" w:hAnsi="Tahoma" w:cs="Tahoma"/>
                            <w:color w:val="222222"/>
                            <w:sz w:val="27"/>
                            <w:szCs w:val="27"/>
                          </w:rPr>
                          <w:t>HeadStartHeals</w:t>
                        </w:r>
                        <w:proofErr w:type="spellEnd"/>
                        <w:r w:rsidRPr="00B97BBA">
                          <w:rPr>
                            <w:rFonts w:ascii="Tahoma" w:eastAsia="Times New Roman" w:hAnsi="Tahoma" w:cs="Tahoma"/>
                            <w:color w:val="222222"/>
                            <w:sz w:val="27"/>
                            <w:szCs w:val="27"/>
                          </w:rPr>
                          <w:t xml:space="preserve"> Campaign </w:t>
                        </w:r>
                      </w:p>
                      <w:p w:rsidR="00B97BBA" w:rsidRPr="00B97BBA" w:rsidRDefault="00B97BBA" w:rsidP="00B97BBA">
                        <w:p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Find more trauma resources and strategies through OHS's #</w:t>
                        </w:r>
                        <w:proofErr w:type="spellStart"/>
                        <w:r w:rsidRPr="00B97BBA">
                          <w:rPr>
                            <w:rFonts w:ascii="Arial" w:eastAsia="Times New Roman" w:hAnsi="Arial" w:cs="Arial"/>
                            <w:color w:val="333333"/>
                            <w:sz w:val="18"/>
                            <w:szCs w:val="18"/>
                          </w:rPr>
                          <w:t>HeadStartHeals</w:t>
                        </w:r>
                        <w:proofErr w:type="spellEnd"/>
                        <w:r w:rsidRPr="00B97BBA">
                          <w:rPr>
                            <w:rFonts w:ascii="Arial" w:eastAsia="Times New Roman" w:hAnsi="Arial" w:cs="Arial"/>
                            <w:color w:val="333333"/>
                            <w:sz w:val="18"/>
                            <w:szCs w:val="18"/>
                          </w:rPr>
                          <w:t xml:space="preserve"> campaign. Program managers can use these resources to design quality improvements for their programs. Direct service staff can use promoted strategies to assist the children and families they serve. In the coming weeks, we will discuss:</w:t>
                        </w:r>
                      </w:p>
                      <w:p w:rsidR="00B97BBA" w:rsidRPr="00B97BBA" w:rsidRDefault="00B97BBA" w:rsidP="00B97BBA">
                        <w:pPr>
                          <w:numPr>
                            <w:ilvl w:val="0"/>
                            <w:numId w:val="1"/>
                          </w:num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The intersection of substance use disorder and trauma and how Head Start programs can help</w:t>
                        </w:r>
                      </w:p>
                      <w:p w:rsidR="00B97BBA" w:rsidRPr="00B97BBA" w:rsidRDefault="00B97BBA" w:rsidP="00B97BBA">
                        <w:pPr>
                          <w:numPr>
                            <w:ilvl w:val="0"/>
                            <w:numId w:val="1"/>
                          </w:num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Understanding trauma-informed care in high needs communities and in classroom settings</w:t>
                        </w:r>
                      </w:p>
                      <w:p w:rsidR="00B97BBA" w:rsidRPr="00B97BBA" w:rsidRDefault="00B97BBA" w:rsidP="00B97BBA">
                        <w:pPr>
                          <w:numPr>
                            <w:ilvl w:val="0"/>
                            <w:numId w:val="1"/>
                          </w:numPr>
                          <w:spacing w:before="100" w:beforeAutospacing="1" w:after="100" w:afterAutospacing="1" w:line="270" w:lineRule="atLeast"/>
                          <w:textAlignment w:val="baseline"/>
                          <w:rPr>
                            <w:rFonts w:ascii="Arial" w:eastAsia="Times New Roman" w:hAnsi="Arial" w:cs="Arial"/>
                            <w:color w:val="333333"/>
                            <w:sz w:val="18"/>
                            <w:szCs w:val="18"/>
                          </w:rPr>
                        </w:pPr>
                        <w:r w:rsidRPr="00B97BBA">
                          <w:rPr>
                            <w:rFonts w:ascii="Arial" w:eastAsia="Times New Roman" w:hAnsi="Arial" w:cs="Arial"/>
                            <w:color w:val="333333"/>
                            <w:sz w:val="18"/>
                            <w:szCs w:val="18"/>
                          </w:rPr>
                          <w:t>Trauma and adult mental health</w:t>
                        </w:r>
                      </w:p>
                    </w:tc>
                  </w:tr>
                </w:tbl>
                <w:p w:rsidR="00B97BBA" w:rsidRPr="00B97BBA" w:rsidRDefault="00B97BBA" w:rsidP="00B97BBA">
                  <w:pPr>
                    <w:rPr>
                      <w:rFonts w:ascii="Arial" w:eastAsia="Times New Roman" w:hAnsi="Arial" w:cs="Arial"/>
                      <w:vanish/>
                      <w:sz w:val="18"/>
                      <w:szCs w:val="18"/>
                    </w:rPr>
                  </w:pPr>
                </w:p>
                <w:tbl>
                  <w:tblPr>
                    <w:tblW w:w="9150" w:type="dxa"/>
                    <w:tblCellSpacing w:w="0" w:type="dxa"/>
                    <w:tblCellMar>
                      <w:left w:w="0" w:type="dxa"/>
                      <w:right w:w="0" w:type="dxa"/>
                    </w:tblCellMar>
                    <w:tblLook w:val="04A0" w:firstRow="1" w:lastRow="0" w:firstColumn="1" w:lastColumn="0" w:noHBand="0" w:noVBand="1"/>
                  </w:tblPr>
                  <w:tblGrid>
                    <w:gridCol w:w="9150"/>
                  </w:tblGrid>
                  <w:tr w:rsidR="00B97BBA" w:rsidRPr="00B97BBA">
                    <w:trPr>
                      <w:tblCellSpacing w:w="0" w:type="dxa"/>
                    </w:trPr>
                    <w:tc>
                      <w:tcPr>
                        <w:tcW w:w="9150" w:type="dxa"/>
                        <w:vAlign w:val="center"/>
                        <w:hideMark/>
                      </w:tcPr>
                      <w:p w:rsidR="00B97BBA" w:rsidRPr="00B97BBA" w:rsidRDefault="00B97BBA" w:rsidP="00B97BBA">
                        <w:pPr>
                          <w:spacing w:before="100" w:beforeAutospacing="1" w:after="100" w:afterAutospacing="1" w:line="330" w:lineRule="atLeast"/>
                          <w:textAlignment w:val="baseline"/>
                          <w:rPr>
                            <w:rFonts w:ascii="Tahoma" w:eastAsia="Times New Roman" w:hAnsi="Tahoma" w:cs="Tahoma"/>
                            <w:color w:val="222222"/>
                            <w:sz w:val="27"/>
                            <w:szCs w:val="27"/>
                          </w:rPr>
                        </w:pPr>
                        <w:r w:rsidRPr="00B97BBA">
                          <w:rPr>
                            <w:rFonts w:ascii="Tahoma" w:eastAsia="Times New Roman" w:hAnsi="Tahoma" w:cs="Tahoma"/>
                            <w:color w:val="222222"/>
                            <w:sz w:val="27"/>
                            <w:szCs w:val="27"/>
                          </w:rPr>
                          <w:t>Additional Resources </w:t>
                        </w:r>
                      </w:p>
                      <w:p w:rsidR="00B97BBA" w:rsidRPr="00B97BBA" w:rsidRDefault="00B97BBA" w:rsidP="00B97BBA">
                        <w:pPr>
                          <w:spacing w:beforeAutospacing="1" w:afterAutospacing="1" w:line="270" w:lineRule="atLeast"/>
                          <w:textAlignment w:val="baseline"/>
                          <w:rPr>
                            <w:rFonts w:ascii="Arial" w:eastAsia="Times New Roman" w:hAnsi="Arial" w:cs="Arial"/>
                            <w:color w:val="333333"/>
                            <w:sz w:val="18"/>
                            <w:szCs w:val="18"/>
                          </w:rPr>
                        </w:pPr>
                        <w:hyperlink r:id="rId19" w:tgtFrame="_blank" w:history="1">
                          <w:r w:rsidRPr="00B97BBA">
                            <w:rPr>
                              <w:rFonts w:ascii="inherit" w:eastAsia="Times New Roman" w:hAnsi="inherit" w:cs="Arial"/>
                              <w:b/>
                              <w:bCs/>
                              <w:color w:val="0000FF"/>
                              <w:sz w:val="18"/>
                              <w:szCs w:val="18"/>
                              <w:u w:val="single"/>
                              <w:bdr w:val="none" w:sz="0" w:space="0" w:color="auto" w:frame="1"/>
                            </w:rPr>
                            <w:t>Recognizing and Addressing Trauma in Infants, Young Children, and Their Families</w:t>
                          </w:r>
                        </w:hyperlink>
                        <w:r w:rsidRPr="00B97BBA">
                          <w:rPr>
                            <w:rFonts w:ascii="Arial" w:eastAsia="Times New Roman" w:hAnsi="Arial" w:cs="Arial"/>
                            <w:color w:val="333333"/>
                            <w:sz w:val="18"/>
                            <w:szCs w:val="18"/>
                          </w:rPr>
                          <w:br/>
                          <w:t>This training module can help Head Start and Early Head Start staff understand what is meant by trauma and recognize its developmental context in early childhood. It can be used to extend their own knowledge for intervention through consultation</w:t>
                        </w:r>
                      </w:p>
                    </w:tc>
                  </w:tr>
                </w:tbl>
                <w:p w:rsidR="00B97BBA" w:rsidRPr="00B97BBA" w:rsidRDefault="00B97BBA" w:rsidP="00B97BBA">
                  <w:pPr>
                    <w:rPr>
                      <w:rFonts w:ascii="Arial" w:eastAsia="Times New Roman" w:hAnsi="Arial" w:cs="Arial"/>
                      <w:sz w:val="18"/>
                      <w:szCs w:val="18"/>
                    </w:rPr>
                  </w:pPr>
                </w:p>
              </w:tc>
            </w:tr>
          </w:tbl>
          <w:p w:rsidR="00B97BBA" w:rsidRPr="00B97BBA" w:rsidRDefault="00B97BBA" w:rsidP="00B97BBA">
            <w:pPr>
              <w:rPr>
                <w:rFonts w:ascii="Arial" w:eastAsia="Times New Roman" w:hAnsi="Arial" w:cs="Arial"/>
                <w:color w:val="201F1E"/>
                <w:sz w:val="18"/>
                <w:szCs w:val="18"/>
              </w:rPr>
            </w:pPr>
          </w:p>
        </w:tc>
      </w:tr>
    </w:tbl>
    <w:p w:rsidR="00B97BBA" w:rsidRDefault="00B97BBA"/>
    <w:sectPr w:rsidR="00B97BBA" w:rsidSect="00B97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192"/>
    <w:multiLevelType w:val="multilevel"/>
    <w:tmpl w:val="7004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BA"/>
    <w:rsid w:val="00B97BBA"/>
    <w:rsid w:val="00E3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D30257-6961-CE49-9C2A-3557DD4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BBA"/>
    <w:rPr>
      <w:color w:val="0000FF"/>
      <w:u w:val="single"/>
    </w:rPr>
  </w:style>
  <w:style w:type="paragraph" w:styleId="NormalWeb">
    <w:name w:val="Normal (Web)"/>
    <w:basedOn w:val="Normal"/>
    <w:uiPriority w:val="99"/>
    <w:semiHidden/>
    <w:unhideWhenUsed/>
    <w:rsid w:val="00B97B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7BBA"/>
    <w:rPr>
      <w:b/>
      <w:bCs/>
    </w:rPr>
  </w:style>
  <w:style w:type="character" w:customStyle="1" w:styleId="apple-converted-space">
    <w:name w:val="apple-converted-space"/>
    <w:basedOn w:val="DefaultParagraphFont"/>
    <w:rsid w:val="00B97BBA"/>
  </w:style>
  <w:style w:type="paragraph" w:customStyle="1" w:styleId="xarticletitle">
    <w:name w:val="x_article_title"/>
    <w:basedOn w:val="Normal"/>
    <w:rsid w:val="00B97B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821218">
      <w:bodyDiv w:val="1"/>
      <w:marLeft w:val="0"/>
      <w:marRight w:val="0"/>
      <w:marTop w:val="0"/>
      <w:marBottom w:val="0"/>
      <w:divBdr>
        <w:top w:val="none" w:sz="0" w:space="0" w:color="auto"/>
        <w:left w:val="none" w:sz="0" w:space="0" w:color="auto"/>
        <w:bottom w:val="none" w:sz="0" w:space="0" w:color="auto"/>
        <w:right w:val="none" w:sz="0" w:space="0" w:color="auto"/>
      </w:divBdr>
      <w:divsChild>
        <w:div w:id="608393010">
          <w:marLeft w:val="0"/>
          <w:marRight w:val="0"/>
          <w:marTop w:val="0"/>
          <w:marBottom w:val="0"/>
          <w:divBdr>
            <w:top w:val="none" w:sz="0" w:space="0" w:color="auto"/>
            <w:left w:val="none" w:sz="0" w:space="0" w:color="auto"/>
            <w:bottom w:val="none" w:sz="0" w:space="0" w:color="auto"/>
            <w:right w:val="none" w:sz="0" w:space="0" w:color="auto"/>
          </w:divBdr>
        </w:div>
        <w:div w:id="723599674">
          <w:marLeft w:val="0"/>
          <w:marRight w:val="0"/>
          <w:marTop w:val="0"/>
          <w:marBottom w:val="0"/>
          <w:divBdr>
            <w:top w:val="none" w:sz="0" w:space="0" w:color="auto"/>
            <w:left w:val="none" w:sz="0" w:space="0" w:color="auto"/>
            <w:bottom w:val="none" w:sz="0" w:space="0" w:color="auto"/>
            <w:right w:val="none" w:sz="0" w:space="0" w:color="auto"/>
          </w:divBdr>
        </w:div>
        <w:div w:id="1972520235">
          <w:marLeft w:val="0"/>
          <w:marRight w:val="0"/>
          <w:marTop w:val="0"/>
          <w:marBottom w:val="0"/>
          <w:divBdr>
            <w:top w:val="none" w:sz="0" w:space="0" w:color="auto"/>
            <w:left w:val="none" w:sz="0" w:space="0" w:color="auto"/>
            <w:bottom w:val="none" w:sz="0" w:space="0" w:color="auto"/>
            <w:right w:val="none" w:sz="0" w:space="0" w:color="auto"/>
          </w:divBdr>
        </w:div>
        <w:div w:id="737754000">
          <w:marLeft w:val="0"/>
          <w:marRight w:val="0"/>
          <w:marTop w:val="0"/>
          <w:marBottom w:val="0"/>
          <w:divBdr>
            <w:top w:val="none" w:sz="0" w:space="0" w:color="auto"/>
            <w:left w:val="none" w:sz="0" w:space="0" w:color="auto"/>
            <w:bottom w:val="none" w:sz="0" w:space="0" w:color="auto"/>
            <w:right w:val="none" w:sz="0" w:space="0" w:color="auto"/>
          </w:divBdr>
        </w:div>
        <w:div w:id="1013917267">
          <w:marLeft w:val="0"/>
          <w:marRight w:val="0"/>
          <w:marTop w:val="0"/>
          <w:marBottom w:val="150"/>
          <w:divBdr>
            <w:top w:val="none" w:sz="0" w:space="0" w:color="auto"/>
            <w:left w:val="none" w:sz="0" w:space="0" w:color="auto"/>
            <w:bottom w:val="none" w:sz="0" w:space="0" w:color="auto"/>
            <w:right w:val="none" w:sz="0" w:space="0" w:color="auto"/>
          </w:divBdr>
        </w:div>
        <w:div w:id="968901078">
          <w:marLeft w:val="0"/>
          <w:marRight w:val="0"/>
          <w:marTop w:val="0"/>
          <w:marBottom w:val="150"/>
          <w:divBdr>
            <w:top w:val="none" w:sz="0" w:space="0" w:color="auto"/>
            <w:left w:val="none" w:sz="0" w:space="0" w:color="auto"/>
            <w:bottom w:val="none" w:sz="0" w:space="0" w:color="auto"/>
            <w:right w:val="none" w:sz="0" w:space="0" w:color="auto"/>
          </w:divBdr>
        </w:div>
        <w:div w:id="1295453387">
          <w:marLeft w:val="0"/>
          <w:marRight w:val="0"/>
          <w:marTop w:val="0"/>
          <w:marBottom w:val="150"/>
          <w:divBdr>
            <w:top w:val="none" w:sz="0" w:space="0" w:color="auto"/>
            <w:left w:val="none" w:sz="0" w:space="0" w:color="auto"/>
            <w:bottom w:val="none" w:sz="0" w:space="0" w:color="auto"/>
            <w:right w:val="none" w:sz="0" w:space="0" w:color="auto"/>
          </w:divBdr>
        </w:div>
        <w:div w:id="4174093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hsicc.cmail20.com/t/j-l-qauja-ykjllhjrb-d/__;!!DVyLFQ!-iko_wOWYIiFeDVCGEybgLO5yn08QGm8wt4t3l3G1pc3THACsqjppsMTHIZA$" TargetMode="External"/><Relationship Id="rId13" Type="http://schemas.openxmlformats.org/officeDocument/2006/relationships/hyperlink" Target="https://urldefense.com/v3/__https:/hsicc.cmail20.com/t/j-l-qauja-ykjllhjrb-u/__;!!DVyLFQ!-iko_wOWYIiFeDVCGEybgLO5yn08QGm8wt4t3l3G1pc3THACsqjppm_19OH8$" TargetMode="External"/><Relationship Id="rId18" Type="http://schemas.openxmlformats.org/officeDocument/2006/relationships/hyperlink" Target="https://urldefense.com/v3/__https:/hsicc.cmail20.com/t/j-l-qauja-ykjllhjrb-q/__;!!DVyLFQ!-iko_wOWYIiFeDVCGEybgLO5yn08QGm8wt4t3l3G1pc3THACsqjpptcNulK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urldefense.com/v3/__https:/hsicc.cmail20.com/t/j-l-qauja-ykjllhjrb-k/__;!!DVyLFQ!-iko_wOWYIiFeDVCGEybgLO5yn08QGm8wt4t3l3G1pc3THACsqjppqc6GeYc$" TargetMode="External"/><Relationship Id="rId17" Type="http://schemas.openxmlformats.org/officeDocument/2006/relationships/hyperlink" Target="https://urldefense.com/v3/__https:/hsicc.cmail20.com/t/j-l-qauja-ykjllhjrb-c/__;!!DVyLFQ!-iko_wOWYIiFeDVCGEybgLO5yn08QGm8wt4t3l3G1pc3THACsqjpprv857jC$" TargetMode="External"/><Relationship Id="rId2" Type="http://schemas.openxmlformats.org/officeDocument/2006/relationships/styles" Target="styles.xml"/><Relationship Id="rId16" Type="http://schemas.openxmlformats.org/officeDocument/2006/relationships/hyperlink" Target="https://urldefense.com/v3/__https:/hsicc.cmail20.com/t/j-l-qauja-ykjllhjrb-b/__;!!DVyLFQ!-iko_wOWYIiFeDVCGEybgLO5yn08QGm8wt4t3l3G1pc3THACsqjppsm4jQl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com/v3/__http:/hsicc.cmail20.com/t/j-fb-qauja-ykjllhjrb-y/__;!!DVyLFQ!-iko_wOWYIiFeDVCGEybgLO5yn08QGm8wt4t3l3G1pc3THACsqjppup6um3J$"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trauma@eclkc.info" TargetMode="External"/><Relationship Id="rId10" Type="http://schemas.openxmlformats.org/officeDocument/2006/relationships/hyperlink" Target="https://urldefense.com/v3/__https:/hsicc.cmail20.com/t/j-l-qauja-ykjllhjrb-h/__;!!DVyLFQ!-iko_wOWYIiFeDVCGEybgLO5yn08QGm8wt4t3l3G1pc3THACsqjppqFlqFgr$" TargetMode="External"/><Relationship Id="rId19" Type="http://schemas.openxmlformats.org/officeDocument/2006/relationships/hyperlink" Target="https://urldefense.com/v3/__https:/hsicc.cmail20.com/t/j-l-qauja-ykjllhjrb-a/__;!!DVyLFQ!-iko_wOWYIiFeDVCGEybgLO5yn08QGm8wt4t3l3G1pc3THACsqjppinqzj6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rldefense.com/v3/__https:/hsicc.cmail20.com/t/j-l-qauja-ykjllhjrb-o/__;!!DVyLFQ!-iko_wOWYIiFeDVCGEybgLO5yn08QGm8wt4t3l3G1pc3THACsqjppgJQe5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Emond</dc:creator>
  <cp:keywords/>
  <dc:description/>
  <cp:lastModifiedBy>Jessica  Emond</cp:lastModifiedBy>
  <cp:revision>1</cp:revision>
  <dcterms:created xsi:type="dcterms:W3CDTF">2020-04-01T16:31:00Z</dcterms:created>
  <dcterms:modified xsi:type="dcterms:W3CDTF">2020-04-01T16:32:00Z</dcterms:modified>
</cp:coreProperties>
</file>